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/>
      </w:pPr>
      <w:r>
        <w:rPr/>
        <w:t xml:space="preserve">                                                                               </w:t>
      </w:r>
      <w:r>
        <w:rPr/>
        <w:t>УТВЕРЖДАЮ</w:t>
      </w:r>
    </w:p>
    <w:p>
      <w:pPr>
        <w:pStyle w:val="Normal"/>
        <w:jc w:val="right"/>
        <w:rPr/>
      </w:pPr>
      <w:r>
        <w:rPr/>
        <w:t>Исполнительный вице-президент </w:t>
      </w:r>
    </w:p>
    <w:p>
      <w:pPr>
        <w:pStyle w:val="Normal"/>
        <w:jc w:val="right"/>
        <w:rPr/>
      </w:pPr>
      <w:r>
        <w:rPr/>
        <w:t>«Российский союз промышленников и предпринимателей (ООР)»</w:t>
      </w:r>
    </w:p>
    <w:p>
      <w:pPr>
        <w:pStyle w:val="Normal"/>
        <w:jc w:val="right"/>
        <w:rPr/>
      </w:pPr>
      <w:r>
        <w:rPr/>
        <w:t>____________Д. В. Кузьмин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>«12» апреля  2021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ДОЛЖНОСТНАЯ ИНСТРУКЦИЯ</w:t>
      </w:r>
    </w:p>
    <w:p>
      <w:pPr>
        <w:pStyle w:val="Normal"/>
        <w:jc w:val="center"/>
        <w:rPr/>
      </w:pPr>
      <w:r>
        <w:rPr>
          <w:b/>
        </w:rPr>
        <w:t>инженера  подразделения «Технические технологии»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1. Общие положения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/>
        <w:tab/>
        <w:t>1.1.  Настоящая должностная инструкция определяет функциональные, должностные обязанности, права и ответственность инженера  подразделения «Технические технологии» (далее - инженер)  «Российский союз промышленников и предпринимателей (ООР)» (далее Учреждение).</w:t>
      </w:r>
    </w:p>
    <w:p>
      <w:pPr>
        <w:pStyle w:val="Addressee"/>
        <w:rPr/>
      </w:pPr>
      <w:r>
        <w:rPr/>
        <w:tab/>
        <w:t>1.2. На должность инженера  назначается лицо, удовлетворяющее следующим требованиям к образованию и обучению:</w:t>
      </w:r>
    </w:p>
    <w:p>
      <w:pPr>
        <w:pStyle w:val="Addressee"/>
        <w:rPr/>
      </w:pPr>
      <w:r>
        <w:rPr/>
        <w:tab/>
        <w:t>- Дополнительное профессиональное образование - программы повышения квалификации;</w:t>
      </w:r>
    </w:p>
    <w:p>
      <w:pPr>
        <w:pStyle w:val="Addressee"/>
        <w:rPr/>
      </w:pPr>
      <w:r>
        <w:rPr/>
        <w:tab/>
        <w:t>- Среднее профессиональное образование - программы подготовки специалистов среднего звена;</w:t>
      </w:r>
    </w:p>
    <w:p>
      <w:pPr>
        <w:pStyle w:val="Addressee"/>
        <w:rPr/>
      </w:pPr>
      <w:r>
        <w:rPr/>
        <w:tab/>
        <w:t>- Высшее образование - бакалавриат;</w:t>
      </w:r>
    </w:p>
    <w:p>
      <w:pPr>
        <w:pStyle w:val="Addressee"/>
        <w:rPr/>
      </w:pPr>
      <w:r>
        <w:rPr/>
        <w:t>имеющее опыт практической работы:</w:t>
      </w:r>
    </w:p>
    <w:p>
      <w:pPr>
        <w:pStyle w:val="Addressee"/>
        <w:rPr/>
      </w:pPr>
      <w:r>
        <w:rPr/>
        <w:tab/>
        <w:t>- Для специалиста со средним профессиональным образованием опыт практической работы не менее трех лет в области химических и биотехнологических производств;</w:t>
      </w:r>
    </w:p>
    <w:p>
      <w:pPr>
        <w:pStyle w:val="Addressee"/>
        <w:rPr/>
      </w:pPr>
      <w:r>
        <w:rPr/>
        <w:t>Особые условия допуска к работе:</w:t>
      </w:r>
    </w:p>
    <w:p>
      <w:pPr>
        <w:pStyle w:val="Addressee"/>
        <w:rPr/>
      </w:pPr>
      <w:r>
        <w:rPr/>
        <w:tab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</w:t>
      </w:r>
    </w:p>
    <w:p>
      <w:pPr>
        <w:pStyle w:val="Addressee"/>
        <w:rPr/>
      </w:pPr>
      <w:r>
        <w:rPr/>
        <w:tab/>
        <w:t>1.3. Инженер должен знать:</w:t>
      </w:r>
    </w:p>
    <w:p>
      <w:pPr>
        <w:pStyle w:val="Addressee"/>
        <w:rPr/>
      </w:pPr>
      <w:r>
        <w:rPr/>
        <w:tab/>
        <w:t xml:space="preserve">- Требования охраны труда;</w:t>
      </w:r>
    </w:p>
    <w:p>
      <w:pPr>
        <w:pStyle w:val="Addressee"/>
        <w:rPr/>
      </w:pPr>
      <w:r>
        <w:rPr/>
        <w:tab/>
        <w:t xml:space="preserve">- Параметры и особенности оборудования, установленного на участках получения компонентов биотоплива;</w:t>
      </w:r>
    </w:p>
    <w:p>
      <w:pPr>
        <w:pStyle w:val="Addressee"/>
        <w:rPr/>
      </w:pPr>
      <w:r>
        <w:rPr/>
        <w:tab/>
        <w:t xml:space="preserve">- Технологии производства биотоплива из возобновляемых источников сырья биотехнологическим методом;</w:t>
      </w:r>
    </w:p>
    <w:p>
      <w:pPr>
        <w:pStyle w:val="Addressee"/>
        <w:rPr/>
      </w:pPr>
      <w:r>
        <w:rPr/>
        <w:tab/>
        <w:t xml:space="preserve">- Маршрутная технологическая карта и инструкции по выполнению операций на всех линиях производства биотоплива биотехнологическим методом;</w:t>
      </w:r>
    </w:p>
    <w:p>
      <w:pPr>
        <w:pStyle w:val="Addressee"/>
        <w:rPr/>
      </w:pPr>
      <w:r>
        <w:rPr/>
        <w:tab/>
        <w:t xml:space="preserve">- Способы и методы приведения исходного сырья в соответствие с установленными требованиями технологического процесса;</w:t>
      </w:r>
    </w:p>
    <w:p>
      <w:pPr>
        <w:pStyle w:val="Addressee"/>
        <w:rPr/>
      </w:pPr>
      <w:r>
        <w:rPr/>
        <w:tab/>
        <w:t xml:space="preserve">- Порядок отбраковки сырья на производстве биотоплива биотехнологическим методом;</w:t>
      </w:r>
    </w:p>
    <w:p>
      <w:pPr>
        <w:pStyle w:val="Addressee"/>
        <w:rPr/>
      </w:pPr>
      <w:r>
        <w:rPr/>
        <w:tab/>
        <w:t xml:space="preserve">- Параметры входного контроля сырья для производства биотоплива биотехнологическим методом;</w:t>
      </w:r>
    </w:p>
    <w:p>
      <w:pPr>
        <w:pStyle w:val="Addressee"/>
        <w:rPr/>
      </w:pPr>
      <w:r>
        <w:rPr/>
        <w:tab/>
        <w:t xml:space="preserve">- Требования охраны труда;</w:t>
      </w:r>
    </w:p>
    <w:p>
      <w:pPr>
        <w:pStyle w:val="Addressee"/>
        <w:rPr/>
      </w:pPr>
      <w:r>
        <w:rPr/>
        <w:tab/>
        <w:t xml:space="preserve">- Методики анализа качественных параметров химического и биохимического сырья, используемого при производстве биотоплива;</w:t>
      </w:r>
    </w:p>
    <w:p>
      <w:pPr>
        <w:pStyle w:val="Addressee"/>
        <w:rPr/>
      </w:pPr>
      <w:r>
        <w:rPr/>
        <w:tab/>
        <w:t xml:space="preserve">- Виды биотехнологического сырья;</w:t>
      </w:r>
    </w:p>
    <w:p>
      <w:pPr>
        <w:pStyle w:val="Addressee"/>
        <w:rPr/>
      </w:pPr>
      <w:r>
        <w:rPr/>
        <w:tab/>
        <w:t xml:space="preserve">- Требования охраны труда;</w:t>
      </w:r>
    </w:p>
    <w:p>
      <w:pPr>
        <w:pStyle w:val="Addressee"/>
        <w:rPr/>
      </w:pPr>
      <w:r>
        <w:rPr/>
        <w:tab/>
        <w:t xml:space="preserve">- Требования к составу и содержанию различных видов технологической документации;</w:t>
      </w:r>
    </w:p>
    <w:p>
      <w:pPr>
        <w:pStyle w:val="Addressee"/>
        <w:rPr/>
      </w:pPr>
      <w:r>
        <w:rPr/>
        <w:tab/>
        <w:t xml:space="preserve">- Особенности организации биохимического производства;</w:t>
      </w:r>
    </w:p>
    <w:p>
      <w:pPr>
        <w:pStyle w:val="Addressee"/>
        <w:rPr/>
      </w:pPr>
      <w:r>
        <w:rPr/>
        <w:tab/>
        <w:t xml:space="preserve">- Технологическое оборудование для биохимического производства;</w:t>
      </w:r>
    </w:p>
    <w:p>
      <w:pPr>
        <w:pStyle w:val="Addressee"/>
        <w:rPr/>
      </w:pPr>
      <w:r>
        <w:rPr/>
        <w:tab/>
        <w:t xml:space="preserve">- Виды технологической документации на биохимическом производстве;</w:t>
      </w:r>
    </w:p>
    <w:p>
      <w:pPr>
        <w:pStyle w:val="Addressee"/>
        <w:rPr/>
      </w:pPr>
      <w:r>
        <w:rPr/>
        <w:tab/>
        <w:t xml:space="preserve">- Технологии производства биотоплива из возобновляемых источников сырья; </w:t>
      </w:r>
    </w:p>
    <w:p>
      <w:pPr>
        <w:pStyle w:val="Normal"/>
        <w:tabs>
          <w:tab w:val="left" w:pos="720" w:leader="none"/>
          <w:tab w:val="left" w:pos="900" w:leader="none"/>
        </w:tabs>
        <w:ind w:firstLine="709"/>
        <w:jc w:val="both"/>
        <w:rPr/>
      </w:pPr>
      <w:r>
        <w:rPr/>
      </w:r>
    </w:p>
    <w:p>
      <w:pPr>
        <w:pStyle w:val="Addressee"/>
        <w:rPr/>
      </w:pPr>
      <w:r>
        <w:rPr/>
        <w:tab/>
        <w:t>1.4. Инженер должен уметь:</w:t>
      </w:r>
    </w:p>
    <w:p>
      <w:pPr>
        <w:pStyle w:val="Addressee"/>
        <w:rPr/>
      </w:pPr>
      <w:r>
        <w:rPr/>
        <w:tab/>
        <w:t>- Анализировать работоспособность оборудования, установленного на участках получения компонентов биотоплива;</w:t>
      </w:r>
    </w:p>
    <w:p>
      <w:pPr>
        <w:pStyle w:val="Addressee"/>
        <w:rPr/>
      </w:pPr>
      <w:r>
        <w:rPr/>
        <w:tab/>
        <w:t>- Использовать оборудование, установленное на участках получения различных компонентов биотоплива;</w:t>
      </w:r>
    </w:p>
    <w:p>
      <w:pPr>
        <w:pStyle w:val="Addressee"/>
        <w:rPr/>
      </w:pPr>
      <w:r>
        <w:rPr/>
        <w:tab/>
        <w:t>- Выполнять анализ исходного сырья для производства биотоплива биотехнологическим методом на контрольно-аналитической аппаратуре;</w:t>
      </w:r>
    </w:p>
    <w:p>
      <w:pPr>
        <w:pStyle w:val="Addressee"/>
        <w:rPr/>
      </w:pPr>
      <w:r>
        <w:rPr/>
        <w:tab/>
        <w:t>- Оформлять документацию (в установленном порядке) по результатам входного контроля;</w:t>
      </w:r>
    </w:p>
    <w:p>
      <w:pPr>
        <w:pStyle w:val="Addressee"/>
        <w:rPr/>
      </w:pPr>
      <w:r>
        <w:rPr/>
        <w:tab/>
        <w:t>- Применять средства индивидуальной защиты;</w:t>
      </w:r>
    </w:p>
    <w:p>
      <w:pPr>
        <w:pStyle w:val="Addressee"/>
        <w:rPr/>
      </w:pPr>
      <w:r>
        <w:rPr/>
        <w:tab/>
        <w:t>- Доводить параметры сырья до значений, пригодных для использования в производстве биотоплива биотехнологическим методом в соответствии технической документацией;</w:t>
      </w:r>
    </w:p>
    <w:p>
      <w:pPr>
        <w:pStyle w:val="Addressee"/>
        <w:rPr/>
      </w:pPr>
      <w:r>
        <w:rPr/>
        <w:tab/>
        <w:t>- Оценивать результаты анализа сырья;</w:t>
      </w:r>
    </w:p>
    <w:p>
      <w:pPr>
        <w:pStyle w:val="Addressee"/>
        <w:rPr/>
      </w:pPr>
      <w:r>
        <w:rPr/>
        <w:tab/>
        <w:t>- Обосновывать предлагаемые решения по отработке производства биотоплива биотехнологическим методом;</w:t>
      </w:r>
    </w:p>
    <w:p>
      <w:pPr>
        <w:pStyle w:val="Addressee"/>
        <w:rPr/>
      </w:pPr>
      <w:r>
        <w:rPr/>
        <w:tab/>
        <w:t>- Оценивать эффективность технологического процесса производства биотоплива биотехнологическим методом;</w:t>
      </w:r>
    </w:p>
    <w:p>
      <w:pPr>
        <w:pStyle w:val="Addressee"/>
        <w:rPr/>
      </w:pPr>
      <w:r>
        <w:rPr/>
        <w:tab/>
        <w:t>- Оценивать возможные риски;</w:t>
      </w:r>
    </w:p>
    <w:p>
      <w:pPr>
        <w:pStyle w:val="Addressee"/>
        <w:rPr/>
      </w:pPr>
      <w:r>
        <w:rPr/>
        <w:tab/>
        <w:t>- Проводить инструктаж;</w:t>
      </w:r>
    </w:p>
    <w:p>
      <w:pPr>
        <w:pStyle w:val="Addressee"/>
        <w:rPr/>
      </w:pPr>
      <w:r>
        <w:rPr/>
        <w:tab/>
        <w:t>- Разрабатывать технологические карты, регламенты производства биотоплива биотехнологическим методом;</w:t>
      </w:r>
    </w:p>
    <w:p>
      <w:pPr>
        <w:pStyle w:val="Addressee"/>
        <w:rPr/>
      </w:pPr>
      <w:r>
        <w:rPr/>
        <w:t xml:space="preserve">             </w:t>
      </w:r>
      <w:r>
        <w:rPr/>
        <w:t>1.5. Инженер  назначается на должность и освобождается от должности приказом исполнительного вице-президента Учреждения в соответствии с действующим законодательством Российской Федерации.</w:t>
      </w:r>
    </w:p>
    <w:p>
      <w:pPr>
        <w:pStyle w:val="Addressee"/>
        <w:rPr/>
      </w:pPr>
      <w:r>
        <w:rPr/>
        <w:tab/>
        <w:t>1.6. Инженер подчиняется исполнительному вице-президенту Учреждения и начальнику подразделения «Технические технологии»</w:t>
      </w:r>
    </w:p>
    <w:p>
      <w:pPr>
        <w:pStyle w:val="Addressee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2. Трудовые функции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 xml:space="preserve">2.1. Подготовка оборудования на участках производства энергоносителей в соответствии с техническим регламентом производства биотоплива.</w:t>
      </w:r>
    </w:p>
    <w:p>
      <w:pPr>
        <w:pStyle w:val="Addressee"/>
        <w:rPr/>
      </w:pPr>
      <w:r>
        <w:rPr/>
        <w:tab/>
        <w:t xml:space="preserve">2.2. Оценка соответствия качества сырья на биотехнологическом производстве техническому регламенту.</w:t>
      </w:r>
    </w:p>
    <w:p>
      <w:pPr>
        <w:pStyle w:val="Addressee"/>
        <w:rPr/>
      </w:pPr>
      <w:r>
        <w:rPr/>
        <w:tab/>
        <w:t xml:space="preserve">2.3. Адаптация технического процесса под производственное задание и имеющееся биотехнологическое сырьё.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3. Должностные обязанности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>3.1. Проверка состояния оборудования на участке подготовки исходного сырья в соответствии с техническим регламентом производства биотоплива. </w:t>
      </w:r>
    </w:p>
    <w:p>
      <w:pPr>
        <w:pStyle w:val="Addressee"/>
        <w:rPr/>
      </w:pPr>
      <w:r>
        <w:rPr/>
        <w:tab/>
        <w:t>3.2. Проверка состояния измерительного оборудования на участке контроля производства биотоплива биотехнологическим методом. </w:t>
      </w:r>
    </w:p>
    <w:p>
      <w:pPr>
        <w:pStyle w:val="Addressee"/>
        <w:rPr/>
      </w:pPr>
      <w:r>
        <w:rPr/>
        <w:tab/>
        <w:t>3.3. Проверка состояния оборудования на участке ферментации производства биотоплива биотехнологическим методом. </w:t>
      </w:r>
    </w:p>
    <w:p>
      <w:pPr>
        <w:pStyle w:val="Addressee"/>
        <w:rPr/>
      </w:pPr>
      <w:r>
        <w:rPr/>
        <w:tab/>
        <w:t>3.4. Приведение оборудования установленного на участках получения биотоплива в рабочее состояние. </w:t>
      </w:r>
    </w:p>
    <w:p>
      <w:pPr>
        <w:pStyle w:val="Addressee"/>
        <w:rPr/>
      </w:pPr>
      <w:r>
        <w:rPr/>
        <w:tab/>
        <w:t>3.5. Доведение значений физико-химических параметров сырья до установленных в техническом регламенте производства биотоплива биотехнологическим методом. </w:t>
      </w:r>
    </w:p>
    <w:p>
      <w:pPr>
        <w:pStyle w:val="Addressee"/>
        <w:rPr/>
      </w:pPr>
      <w:r>
        <w:rPr/>
        <w:tab/>
        <w:t>3.6. Оформление результатов входного контроля качества сырья для производства биотоплива биотехнологическим методом. </w:t>
      </w:r>
    </w:p>
    <w:p>
      <w:pPr>
        <w:pStyle w:val="Addressee"/>
        <w:rPr/>
      </w:pPr>
      <w:r>
        <w:rPr/>
        <w:tab/>
        <w:t>3.7. Отбраковка сырья при невозможности доведения его физико-химических параметров до значений, установленных в техническом регламенте производства биотоплива. </w:t>
      </w:r>
    </w:p>
    <w:p>
      <w:pPr>
        <w:pStyle w:val="Addressee"/>
        <w:rPr/>
      </w:pPr>
      <w:r>
        <w:rPr/>
        <w:tab/>
        <w:t>3.8. Принятие решения по результатам анализа проб о соответствии сырья установленным параметрам производства биотоплива биотехнологическим методом и о возможности его использования. </w:t>
      </w:r>
    </w:p>
    <w:p>
      <w:pPr>
        <w:pStyle w:val="Addressee"/>
        <w:rPr/>
      </w:pPr>
      <w:r>
        <w:rPr/>
        <w:tab/>
        <w:t>3.9. Организация отбора проб различных видов сырья на соответствие установленным параметрам. </w:t>
      </w:r>
    </w:p>
    <w:p>
      <w:pPr>
        <w:pStyle w:val="Addressee"/>
        <w:rPr/>
      </w:pPr>
      <w:r>
        <w:rPr/>
        <w:tab/>
        <w:t>3.10. Контроль паспортных данных исходного сырья на соответствие техническим требованиям в производстве биотоплива биотехнологическим методом. </w:t>
      </w:r>
    </w:p>
    <w:p>
      <w:pPr>
        <w:pStyle w:val="Addressee"/>
        <w:rPr/>
      </w:pPr>
      <w:r>
        <w:rPr/>
        <w:tab/>
        <w:t>3.11. Разработка технологической документации производства биотоплива биотехнологическим методом. </w:t>
      </w:r>
    </w:p>
    <w:p>
      <w:pPr>
        <w:pStyle w:val="Addressee"/>
        <w:rPr/>
      </w:pPr>
      <w:r>
        <w:rPr/>
        <w:tab/>
        <w:t>3.12. Организация мероприятий по освоению изготовления энергоносителей биотехнологическим методом в условиях производства. </w:t>
      </w:r>
    </w:p>
    <w:p>
      <w:pPr>
        <w:pStyle w:val="Addressee"/>
        <w:rPr/>
      </w:pPr>
      <w:r>
        <w:rPr/>
        <w:tab/>
        <w:t>3.13. Принятие корректирующих мер при налаживании производства биотоплива биотехнологическим методом. </w:t>
      </w:r>
    </w:p>
    <w:p>
      <w:pPr>
        <w:pStyle w:val="Addressee"/>
        <w:rPr/>
      </w:pPr>
      <w:r>
        <w:rPr/>
        <w:tab/>
        <w:t>3.14. Оценка эффективности принятой технологии производства биотоплива биотехнологическим методом. </w:t>
      </w:r>
    </w:p>
    <w:p>
      <w:pPr>
        <w:pStyle w:val="Addressee"/>
        <w:rPr/>
      </w:pPr>
      <w:r>
        <w:rPr/>
        <w:tab/>
        <w:t>3.15. Обучение и инструктаж работников. 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4. Права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ab/>
        <w:t>Инженер имеет право:</w:t>
      </w:r>
    </w:p>
    <w:p>
      <w:pPr>
        <w:pStyle w:val="Addressee"/>
        <w:rPr/>
      </w:pPr>
      <w:r>
        <w:rPr/>
        <w:t xml:space="preserve">            </w:t>
      </w:r>
      <w:r>
        <w:rPr/>
        <w:t>4.1. Запрашивать и получать необходимую информацию, а так же материалы и документы, относящиеся к вопросам деятельности инженера .</w:t>
      </w:r>
    </w:p>
    <w:p>
      <w:pPr>
        <w:pStyle w:val="Addressee"/>
        <w:rPr/>
      </w:pPr>
      <w:r>
        <w:rPr/>
        <w:t xml:space="preserve">            </w:t>
      </w:r>
      <w:r>
        <w:rPr/>
        <w:t>4.2. Повышать квалификацию, проходить переподготовку (переквалификацию).</w:t>
      </w:r>
    </w:p>
    <w:p>
      <w:pPr>
        <w:pStyle w:val="Addressee"/>
        <w:rPr/>
      </w:pPr>
      <w:r>
        <w:rPr/>
        <w:t xml:space="preserve">            </w:t>
      </w:r>
      <w:r>
        <w:rPr/>
        <w:t>4.3. Вступать во взаимоотношения с подразделениями сторонних учреждений и организаций для решения вопросов, входящих в компетенцию инженера .</w:t>
      </w:r>
    </w:p>
    <w:p>
      <w:pPr>
        <w:pStyle w:val="Addressee"/>
        <w:rPr/>
      </w:pPr>
      <w:r>
        <w:rPr/>
        <w:t xml:space="preserve">            </w:t>
      </w:r>
      <w:r>
        <w:rPr/>
        <w:t>4.4. Принимать участие в обсуждении вопросов, входящих в его функциональные обязанности.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Вносить предложения и замечания по вопросам улучшения деятельности на порученном участке работы.           </w:t>
      </w:r>
    </w:p>
    <w:p>
      <w:pPr>
        <w:pStyle w:val="Addressee"/>
        <w:rPr/>
      </w:pPr>
      <w:r>
        <w:rPr/>
        <w:t xml:space="preserve">            </w:t>
      </w:r>
      <w:r>
        <w:rPr/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>
      <w:pPr>
        <w:pStyle w:val="Addressee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</w:t>
      </w:r>
      <w:r>
        <w:rPr/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>
      <w:pPr>
        <w:pStyle w:val="Addressee"/>
        <w:rPr/>
      </w:pPr>
      <w:r>
        <w:rPr/>
        <w:t xml:space="preserve">            </w:t>
      </w:r>
      <w:r>
        <w:rPr/>
        <w:t>4.8. Проходить в установленном порядке аттестацию.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jc w:val="center"/>
        <w:rPr/>
      </w:pPr>
      <w:r>
        <w:rPr>
          <w:b/>
        </w:rPr>
        <w:t>5. Ответственность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 xml:space="preserve">            </w:t>
      </w:r>
      <w:r>
        <w:rPr>
          <w:b/>
        </w:rPr>
        <w:t>Инженер несет ответственность за:</w:t>
      </w:r>
    </w:p>
    <w:p>
      <w:pPr>
        <w:pStyle w:val="Addressee"/>
        <w:rPr/>
      </w:pPr>
      <w:r>
        <w:rPr>
          <w:b/>
        </w:rPr>
        <w:t xml:space="preserve">            </w:t>
      </w:r>
      <w:r>
        <w:rPr/>
        <w:t xml:space="preserve">4.1. Неисполнение (ненадлежащее исполнение) своих функциональных обязанностей. </w:t>
      </w:r>
    </w:p>
    <w:p>
      <w:pPr>
        <w:pStyle w:val="Addressee"/>
        <w:rPr/>
      </w:pPr>
      <w:r>
        <w:rPr/>
        <w:t xml:space="preserve">            </w:t>
      </w:r>
      <w:r>
        <w:rPr/>
        <w:t>4.2. Невыполнение распоряжений и поручений исполнительного вице-президента Учреждения.</w:t>
      </w:r>
    </w:p>
    <w:p>
      <w:pPr>
        <w:pStyle w:val="Addressee"/>
        <w:rPr/>
      </w:pPr>
      <w:r>
        <w:rPr/>
        <w:t xml:space="preserve">            </w:t>
      </w:r>
      <w:r>
        <w:rPr/>
        <w:t>4.3. Недостоверную информацию о состоянии выполнения порученных заданий и поручений, нарушении сроков их исполнения.</w:t>
      </w:r>
    </w:p>
    <w:p>
      <w:pPr>
        <w:pStyle w:val="Addressee"/>
        <w:rPr/>
      </w:pPr>
      <w:r>
        <w:rPr>
          <w:color w:val="000000"/>
        </w:rPr>
        <w:t xml:space="preserve">            </w:t>
      </w:r>
      <w:r>
        <w:rPr>
          <w:color w:val="000000"/>
        </w:rPr>
        <w:t xml:space="preserve">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rPr/>
        <w:t xml:space="preserve"> 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rPr/>
        <w:t>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4.6. Разглашение сведений, ставших известными в связи с исполнением должностных обязанностей.           </w:t>
      </w:r>
    </w:p>
    <w:p>
      <w:pPr>
        <w:pStyle w:val="Addressee"/>
        <w:rPr/>
      </w:pPr>
      <w:r>
        <w:rPr/>
        <w:t xml:space="preserve">            </w:t>
      </w:r>
    </w:p>
    <w:p>
      <w:pPr>
        <w:pStyle w:val="Addressee"/>
        <w:rPr/>
      </w:pPr>
      <w:r>
        <w:rPr>
          <w:color w:val="000000"/>
        </w:rPr>
        <w:t xml:space="preserve">             </w:t>
      </w: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rPr/>
        <w:t>нарушения инженер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>
      <w:pPr>
        <w:pStyle w:val="Normal"/>
        <w:jc w:val="both"/>
        <w:rPr/>
      </w:pPr>
      <w:r>
        <w:rPr/>
      </w:r>
    </w:p>
    <w:p>
      <w:pPr>
        <w:pStyle w:val="Addressee"/>
        <w:rPr/>
      </w:pPr>
      <w:r>
        <w:rPr/>
        <w:t xml:space="preserve">             </w:t>
      </w:r>
      <w:r>
        <w:rPr/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>
        <w:rPr>
          <w:rFonts w:cs="Times New Roman"/>
          <w:sz w:val="24"/>
          <w:szCs w:val="24"/>
        </w:rPr>
        <w:t>, профессионального стандарта «Специалист - технолог в области биоэнергетических технологий» утвержденного приказом Министерства труда и социальной защиты Российской Федерации от 21.12.2015 № 1054н и иных нормативно–правовых актов, регулирующих трудовые отношения.</w:t>
      </w:r>
    </w:p>
    <w:p>
      <w:pPr>
        <w:pStyle w:val="Normal"/>
        <w:jc w:val="both"/>
        <w:rPr/>
      </w:pPr>
      <w:r>
        <w:rPr/>
        <w:t xml:space="preserve">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Должность составителя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  <w:t>Согласовано</w:t>
      </w:r>
    </w:p>
    <w:p>
      <w:pPr>
        <w:pStyle w:val="Normal"/>
        <w:jc w:val="both"/>
        <w:rPr/>
      </w:pPr>
      <w:r>
        <w:rPr/>
        <w:t>Должность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</w:t>
      </w:r>
      <w:r>
        <w:rPr/>
        <w:t>«___»______________200 __ г.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_________________/________________/                                    «___»______________200__г.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ind w:left="0" w:hanging="0"/>
      <w:jc w:val="right"/>
      <w:rPr/>
    </w:pPr>
    <w:hyperlink r:id="rId1">
      <w:r>
        <w:rPr>
          <w:rStyle w:val="Emphasis"/>
        </w:rPr>
        <w:t>https://qualinfo.ru/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1.6pt;margin-top:0.05pt;width:1.7pt;height:14.3pt;mso-position-horizontal-relative:page" wp14:anchorId="1283244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1" w:customStyle="1">
    <w:name w:val="Основной шрифт абзаца1"/>
    <w:qFormat/>
    <w:rPr/>
  </w:style>
  <w:style w:type="character" w:styleId="Pagenumber">
    <w:name w:val="page number"/>
    <w:basedOn w:val="1"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Нижний колонтитул Знак"/>
    <w:link w:val="aa"/>
    <w:uiPriority w:val="99"/>
    <w:qFormat/>
    <w:rsid w:val="005c4989"/>
    <w:rPr>
      <w:sz w:val="24"/>
      <w:szCs w:val="24"/>
      <w:lang w:eastAsia="ar-SA"/>
    </w:rPr>
  </w:style>
  <w:style w:type="character" w:styleId="InternetLink">
    <w:name w:val="Internet Link"/>
    <w:basedOn w:val="DefaultParagraphFont"/>
    <w:uiPriority w:val="99"/>
    <w:semiHidden/>
    <w:unhideWhenUsed/>
    <w:rsid w:val="0066668a"/>
    <w:rPr>
      <w:color w:val="0000FF" w:themeColor="hyperlink"/>
      <w:u w:val="single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Quotation">
    <w:name w:val="Quotation"/>
    <w:qFormat/>
    <w:rPr>
      <w:i/>
      <w:i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 w:customStyle="1">
    <w:name w:val="Заголовок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6" w:customStyle="1">
    <w:name w:val="Содержимое врезки"/>
    <w:basedOn w:val="TextBody"/>
    <w:qFormat/>
    <w:pPr/>
    <w:rPr/>
  </w:style>
  <w:style w:type="paragraph" w:styleId="Footer">
    <w:name w:val="Footer"/>
    <w:basedOn w:val="Normal"/>
    <w:link w:val="ab"/>
    <w:uiPriority w:val="99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ComplimentaryClose">
    <w:name w:val="Salutation"/>
    <w:basedOn w:val="Normal"/>
    <w:pPr/>
    <w:rPr/>
  </w:style>
  <w:style w:type="paragraph" w:styleId="Addressee">
    <w:name w:val="Envelope Address"/>
    <w:basedOn w:val="Normal"/>
    <w:pPr/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footer" Target="footer1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2" Type="http://schemas.openxmlformats.org/officeDocument/2006/relationships/header" Target="header1.xml"/><Relationship Id="rId7" Type="http://schemas.openxmlformats.org/officeDocument/2006/relationships/customXml" Target="../customXml/item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hyperlink" Target="https://qual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LibreOffice/6.0.5.1$Linux_X86_64 LibreOffice_project/00m0$Build-1</Application>
  <Pages>3</Pages>
  <Words>520</Words>
  <Characters>4798</Characters>
  <CharactersWithSpaces>6273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Радуга</dc:creator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keywords>должностная инструкция бухгалтера</cp:keywords>
  <dc:language>en-US</dc:language>
  <cp:lastModifiedBy/>
  <cp:lastPrinted>2014-05-08T07:16:00Z</cp:lastPrinted>
  <dcterms:modified xsi:type="dcterms:W3CDTF">2018-09-01T19:12:22Z</dcterms:modified>
  <cp:revision>55</cp:revision>
  <dc:subject>Должностные инструкции</dc:subject>
  <dc:title>Должностная инструкция бухгалтера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Делопроизводство</vt:lpwstr>
  </property>
</Properties>
</file>